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57F3" w14:textId="387D9395" w:rsidR="004F74A5" w:rsidRDefault="004F74A5">
      <w:pPr>
        <w:pStyle w:val="BodyText"/>
        <w:ind w:left="6444"/>
        <w:rPr>
          <w:rFonts w:ascii="Times New Roman"/>
          <w:sz w:val="20"/>
        </w:rPr>
      </w:pPr>
    </w:p>
    <w:p w14:paraId="26B0EF4E" w14:textId="77777777" w:rsidR="004F74A5" w:rsidRDefault="004F74A5">
      <w:pPr>
        <w:pStyle w:val="BodyText"/>
        <w:spacing w:before="9"/>
        <w:rPr>
          <w:rFonts w:ascii="Times New Roman"/>
        </w:rPr>
      </w:pPr>
    </w:p>
    <w:p w14:paraId="2EDF117D" w14:textId="77777777" w:rsidR="007F46AF" w:rsidRDefault="007F46AF" w:rsidP="00766BDD">
      <w:pPr>
        <w:pStyle w:val="Heading1"/>
        <w:spacing w:before="93"/>
        <w:ind w:right="1393"/>
        <w:jc w:val="both"/>
      </w:pPr>
    </w:p>
    <w:p w14:paraId="6CD937A2" w14:textId="3F90BE3D" w:rsidR="004F74A5" w:rsidRDefault="00743521" w:rsidP="007F46AF">
      <w:pPr>
        <w:pStyle w:val="Heading1"/>
        <w:spacing w:before="93"/>
        <w:ind w:left="-567" w:right="801"/>
        <w:jc w:val="both"/>
        <w:rPr>
          <w:u w:val="none"/>
        </w:rPr>
      </w:pPr>
      <w:r>
        <w:t>Agreement to pay fees and to sign Unilateral Undertaking for</w:t>
      </w:r>
      <w:r w:rsidRPr="00766BDD">
        <w:t xml:space="preserve"> </w:t>
      </w:r>
      <w:r>
        <w:t>Affordable</w:t>
      </w:r>
      <w:r>
        <w:rPr>
          <w:spacing w:val="-6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t>Offsetting</w:t>
      </w:r>
      <w:r>
        <w:rPr>
          <w:spacing w:val="-5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contributions</w:t>
      </w:r>
    </w:p>
    <w:p w14:paraId="5C0EB30F" w14:textId="77777777" w:rsidR="004F74A5" w:rsidRDefault="004F74A5" w:rsidP="007F46AF">
      <w:pPr>
        <w:pStyle w:val="BodyText"/>
        <w:spacing w:before="11"/>
        <w:ind w:left="-567" w:right="801"/>
        <w:rPr>
          <w:b/>
          <w:sz w:val="19"/>
        </w:rPr>
      </w:pPr>
    </w:p>
    <w:p w14:paraId="5BE76975" w14:textId="4B514F61" w:rsidR="004F74A5" w:rsidRPr="00766BDD" w:rsidRDefault="00743521" w:rsidP="007F46AF">
      <w:pPr>
        <w:pStyle w:val="BodyText"/>
        <w:spacing w:before="92"/>
        <w:ind w:left="-567" w:right="801"/>
        <w:jc w:val="both"/>
      </w:pPr>
      <w:r>
        <w:t xml:space="preserve">The form below must be completed, </w:t>
      </w:r>
      <w:proofErr w:type="gramStart"/>
      <w:r>
        <w:t>signed</w:t>
      </w:r>
      <w:proofErr w:type="gramEnd"/>
      <w:r>
        <w:t xml:space="preserve"> and submitted before planning applications</w:t>
      </w:r>
      <w:r>
        <w:rPr>
          <w:spacing w:val="-4"/>
        </w:rPr>
        <w:t xml:space="preserve"> </w:t>
      </w:r>
      <w:r>
        <w:t>proposing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validated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2"/>
        </w:rPr>
        <w:t>determination.</w:t>
      </w:r>
    </w:p>
    <w:p w14:paraId="57C5A3BD" w14:textId="44939E7C" w:rsidR="004F74A5" w:rsidRDefault="007F46AF" w:rsidP="007F46AF">
      <w:pPr>
        <w:pStyle w:val="BodyText"/>
        <w:tabs>
          <w:tab w:val="left" w:pos="6705"/>
        </w:tabs>
        <w:ind w:left="-567" w:right="801"/>
        <w:rPr>
          <w:sz w:val="22"/>
        </w:rPr>
      </w:pPr>
      <w:r>
        <w:rPr>
          <w:sz w:val="22"/>
        </w:rPr>
        <w:tab/>
      </w:r>
    </w:p>
    <w:p w14:paraId="54277BA0" w14:textId="77777777" w:rsidR="004F74A5" w:rsidRDefault="00743521" w:rsidP="007F46AF">
      <w:pPr>
        <w:pStyle w:val="Heading1"/>
        <w:ind w:left="-567" w:right="801"/>
        <w:rPr>
          <w:u w:val="none"/>
        </w:rPr>
      </w:pPr>
      <w:r>
        <w:rPr>
          <w:u w:val="none"/>
        </w:rPr>
        <w:t>Legal</w:t>
      </w:r>
      <w:r>
        <w:rPr>
          <w:spacing w:val="-4"/>
          <w:u w:val="none"/>
        </w:rPr>
        <w:t xml:space="preserve"> fees</w:t>
      </w:r>
    </w:p>
    <w:p w14:paraId="09BE8D88" w14:textId="77777777" w:rsidR="004F74A5" w:rsidRDefault="004F74A5" w:rsidP="007F46AF">
      <w:pPr>
        <w:pStyle w:val="BodyText"/>
        <w:ind w:left="-567" w:right="801"/>
        <w:rPr>
          <w:b/>
        </w:rPr>
      </w:pPr>
    </w:p>
    <w:p w14:paraId="6E485D2A" w14:textId="77777777" w:rsidR="004F74A5" w:rsidRDefault="00743521" w:rsidP="007F46AF">
      <w:pPr>
        <w:pStyle w:val="BodyText"/>
        <w:ind w:left="-567" w:right="801"/>
        <w:jc w:val="both"/>
      </w:pPr>
      <w:r>
        <w:t xml:space="preserve">“I agree to pay the council’s reasonable legal fees in connection with the preparation and completion of a Section 106 Unilateral Undertaking to </w:t>
      </w:r>
      <w:proofErr w:type="gramStart"/>
      <w:r>
        <w:t>make a contribution</w:t>
      </w:r>
      <w:proofErr w:type="gramEnd"/>
      <w:r>
        <w:t xml:space="preserve"> towards the provision of Affordable Housing and/or Carbon Offsetting.</w:t>
      </w:r>
    </w:p>
    <w:p w14:paraId="692B0E64" w14:textId="77777777" w:rsidR="004F74A5" w:rsidRDefault="004F74A5" w:rsidP="007F46AF">
      <w:pPr>
        <w:pStyle w:val="BodyText"/>
        <w:ind w:left="-567" w:right="801"/>
      </w:pPr>
    </w:p>
    <w:p w14:paraId="33D3EF2A" w14:textId="56BB0232" w:rsidR="004F74A5" w:rsidRDefault="00743521" w:rsidP="007F46AF">
      <w:pPr>
        <w:pStyle w:val="BodyText"/>
        <w:ind w:left="-567" w:right="801"/>
        <w:jc w:val="both"/>
      </w:pPr>
      <w:r>
        <w:t xml:space="preserve">“I understand that on average, legal fees amount to approximately £540. The Council will charge in accordance with the time incurred, so this figure could vary and </w:t>
      </w:r>
      <w:proofErr w:type="gramStart"/>
      <w:r>
        <w:t>in the event that</w:t>
      </w:r>
      <w:proofErr w:type="gramEnd"/>
      <w:r>
        <w:t xml:space="preserve"> one or more overseas companies are involved then this fee will increase to at least £1,000.”</w:t>
      </w:r>
    </w:p>
    <w:p w14:paraId="42AA4543" w14:textId="77777777" w:rsidR="004F74A5" w:rsidRDefault="004F74A5" w:rsidP="007F46AF">
      <w:pPr>
        <w:pStyle w:val="BodyText"/>
        <w:ind w:left="-567" w:right="801"/>
        <w:rPr>
          <w:sz w:val="22"/>
        </w:rPr>
      </w:pPr>
    </w:p>
    <w:p w14:paraId="192FF88E" w14:textId="77777777" w:rsidR="004F74A5" w:rsidRDefault="00743521" w:rsidP="007F46AF">
      <w:pPr>
        <w:pStyle w:val="Heading1"/>
        <w:ind w:left="-567" w:right="801"/>
        <w:jc w:val="both"/>
        <w:rPr>
          <w:u w:val="none"/>
        </w:rPr>
      </w:pPr>
      <w:r>
        <w:rPr>
          <w:u w:val="none"/>
        </w:rPr>
        <w:t>Unilateral</w:t>
      </w:r>
      <w:r>
        <w:rPr>
          <w:spacing w:val="-8"/>
          <w:u w:val="none"/>
        </w:rPr>
        <w:t xml:space="preserve"> </w:t>
      </w:r>
      <w:r>
        <w:rPr>
          <w:u w:val="none"/>
        </w:rPr>
        <w:t>Undertaking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7"/>
          <w:u w:val="none"/>
        </w:rPr>
        <w:t xml:space="preserve"> </w:t>
      </w:r>
      <w:r>
        <w:rPr>
          <w:u w:val="none"/>
        </w:rPr>
        <w:t>Section</w:t>
      </w:r>
      <w:r>
        <w:rPr>
          <w:spacing w:val="-6"/>
          <w:u w:val="none"/>
        </w:rPr>
        <w:t xml:space="preserve"> </w:t>
      </w:r>
      <w:r>
        <w:rPr>
          <w:spacing w:val="-5"/>
          <w:u w:val="none"/>
        </w:rPr>
        <w:t>106</w:t>
      </w:r>
    </w:p>
    <w:p w14:paraId="605F1190" w14:textId="77777777" w:rsidR="004F74A5" w:rsidRDefault="004F74A5" w:rsidP="007F46AF">
      <w:pPr>
        <w:pStyle w:val="BodyText"/>
        <w:ind w:left="-567" w:right="801"/>
        <w:rPr>
          <w:b/>
        </w:rPr>
      </w:pPr>
    </w:p>
    <w:p w14:paraId="3A31A112" w14:textId="77777777" w:rsidR="004F74A5" w:rsidRDefault="00743521" w:rsidP="007F46AF">
      <w:pPr>
        <w:pStyle w:val="BodyText"/>
        <w:ind w:left="-567" w:right="801"/>
        <w:jc w:val="both"/>
      </w:pPr>
      <w:r>
        <w:t>“I also hereby acknowledge that a Unilateral Undertaking under section 106 of the Town and Country Planning Act 1990 binding the application site will be submitted to the Local Planning Authority (LPA) in a form approved by the LPA and entered into by all parties with a legal interest in the land (including Mortgagees) of the Application site, securing the required off-site affordable housing and/or carbon offsetting contributions, before planning permission can be granted.”</w:t>
      </w:r>
    </w:p>
    <w:p w14:paraId="3326D6DC" w14:textId="77777777" w:rsidR="004F74A5" w:rsidRDefault="004F74A5" w:rsidP="007F46AF">
      <w:pPr>
        <w:pStyle w:val="BodyText"/>
        <w:ind w:left="-567" w:right="801"/>
        <w:rPr>
          <w:sz w:val="22"/>
        </w:rPr>
      </w:pPr>
    </w:p>
    <w:p w14:paraId="740D7B61" w14:textId="77777777" w:rsidR="004F74A5" w:rsidRDefault="00743521" w:rsidP="007F46AF">
      <w:pPr>
        <w:pStyle w:val="Heading1"/>
        <w:ind w:left="-567" w:right="801"/>
        <w:jc w:val="both"/>
        <w:rPr>
          <w:u w:val="none"/>
        </w:rPr>
      </w:pPr>
      <w:r>
        <w:rPr>
          <w:u w:val="none"/>
        </w:rPr>
        <w:t>Viability</w:t>
      </w:r>
      <w:r>
        <w:rPr>
          <w:spacing w:val="-9"/>
          <w:u w:val="none"/>
        </w:rPr>
        <w:t xml:space="preserve"> </w:t>
      </w:r>
      <w:r>
        <w:rPr>
          <w:u w:val="none"/>
        </w:rPr>
        <w:t>assessment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fees</w:t>
      </w:r>
    </w:p>
    <w:p w14:paraId="444320B0" w14:textId="77777777" w:rsidR="004F74A5" w:rsidRDefault="004F74A5" w:rsidP="007F46AF">
      <w:pPr>
        <w:pStyle w:val="BodyText"/>
        <w:ind w:left="-567" w:right="801"/>
        <w:rPr>
          <w:b/>
        </w:rPr>
      </w:pPr>
    </w:p>
    <w:p w14:paraId="5E49E1DE" w14:textId="77777777" w:rsidR="004F74A5" w:rsidRDefault="00743521" w:rsidP="007F46AF">
      <w:pPr>
        <w:pStyle w:val="BodyText"/>
        <w:ind w:left="-567" w:right="801"/>
        <w:jc w:val="both"/>
      </w:pPr>
      <w:r>
        <w:t>“If I believe the proposed development is unable to afford the full level of off-site affordable housing contribution set out in Islington’s Affordable Housing – Small Sites Contribution SPD (adopted October 2012), I have submitted a Viability Assessment with the application, and I agree to pay an independent assessor for an independent examination of the submitted viability assessment prior to determination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application.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paid,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the Council from making a positive recommendation on the application.</w:t>
      </w:r>
    </w:p>
    <w:p w14:paraId="536AEAFF" w14:textId="77777777" w:rsidR="004F74A5" w:rsidRDefault="004F74A5" w:rsidP="007F46AF">
      <w:pPr>
        <w:pStyle w:val="BodyText"/>
        <w:ind w:left="-567" w:right="801"/>
      </w:pPr>
    </w:p>
    <w:p w14:paraId="47C62150" w14:textId="3C9C17FE" w:rsidR="004F74A5" w:rsidRDefault="00743521" w:rsidP="007F46AF">
      <w:pPr>
        <w:pStyle w:val="BodyText"/>
        <w:ind w:left="-567" w:right="801"/>
        <w:jc w:val="both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viability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£1,</w:t>
      </w:r>
      <w:r w:rsidR="00766BDD">
        <w:t>750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VAT. Payment details will be issued separately by the independent assessor.”</w:t>
      </w:r>
    </w:p>
    <w:p w14:paraId="16F8CA63" w14:textId="77777777" w:rsidR="004F74A5" w:rsidRDefault="004F74A5">
      <w:pPr>
        <w:sectPr w:rsidR="004F74A5">
          <w:headerReference w:type="default" r:id="rId6"/>
          <w:type w:val="continuous"/>
          <w:pgSz w:w="12240" w:h="15840"/>
          <w:pgMar w:top="1100" w:right="320" w:bottom="0" w:left="1480" w:header="720" w:footer="720" w:gutter="0"/>
          <w:cols w:space="720"/>
        </w:sectPr>
      </w:pPr>
    </w:p>
    <w:p w14:paraId="61790703" w14:textId="0FE17105" w:rsidR="004F74A5" w:rsidRDefault="004F74A5">
      <w:pPr>
        <w:pStyle w:val="BodyText"/>
        <w:ind w:left="6684"/>
        <w:rPr>
          <w:sz w:val="20"/>
        </w:rPr>
      </w:pPr>
    </w:p>
    <w:p w14:paraId="7B0EF021" w14:textId="77777777" w:rsidR="004F74A5" w:rsidRDefault="004F74A5">
      <w:pPr>
        <w:pStyle w:val="BodyText"/>
        <w:rPr>
          <w:sz w:val="20"/>
        </w:rPr>
      </w:pPr>
    </w:p>
    <w:p w14:paraId="071F0D5D" w14:textId="56B98C0E" w:rsidR="004F74A5" w:rsidRDefault="004F74A5">
      <w:pPr>
        <w:pStyle w:val="BodyText"/>
        <w:spacing w:before="11"/>
        <w:rPr>
          <w:sz w:val="15"/>
        </w:rPr>
      </w:pPr>
    </w:p>
    <w:p w14:paraId="273EDA9E" w14:textId="57E84DDC" w:rsidR="007F46AF" w:rsidRDefault="007F46AF">
      <w:pPr>
        <w:pStyle w:val="BodyText"/>
        <w:spacing w:before="11"/>
        <w:rPr>
          <w:sz w:val="15"/>
        </w:rPr>
      </w:pPr>
    </w:p>
    <w:p w14:paraId="05FFD6C1" w14:textId="77777777" w:rsidR="007F46AF" w:rsidRDefault="007F46AF">
      <w:pPr>
        <w:pStyle w:val="BodyText"/>
        <w:spacing w:before="11"/>
        <w:rPr>
          <w:sz w:val="15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4"/>
      </w:tblGrid>
      <w:tr w:rsidR="004F74A5" w14:paraId="209F749D" w14:textId="77777777" w:rsidTr="007F46AF">
        <w:trPr>
          <w:trHeight w:val="551"/>
        </w:trPr>
        <w:tc>
          <w:tcPr>
            <w:tcW w:w="9054" w:type="dxa"/>
          </w:tcPr>
          <w:p w14:paraId="4D506780" w14:textId="77777777" w:rsidR="004F74A5" w:rsidRDefault="00743521" w:rsidP="007F46A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agent</w:t>
            </w:r>
            <w:r>
              <w:rPr>
                <w:b/>
                <w:spacing w:val="-2"/>
                <w:sz w:val="24"/>
              </w:rPr>
              <w:t xml:space="preserve"> details</w:t>
            </w:r>
          </w:p>
        </w:tc>
      </w:tr>
      <w:tr w:rsidR="004F74A5" w14:paraId="3EC35F53" w14:textId="77777777" w:rsidTr="007F46AF">
        <w:trPr>
          <w:trHeight w:val="1655"/>
        </w:trPr>
        <w:tc>
          <w:tcPr>
            <w:tcW w:w="9054" w:type="dxa"/>
          </w:tcPr>
          <w:p w14:paraId="20498015" w14:textId="77777777" w:rsidR="004F74A5" w:rsidRDefault="00743521" w:rsidP="007F46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submitted:</w:t>
            </w:r>
          </w:p>
        </w:tc>
      </w:tr>
      <w:tr w:rsidR="004F74A5" w14:paraId="18F7C700" w14:textId="77777777" w:rsidTr="007F46AF">
        <w:trPr>
          <w:trHeight w:val="1103"/>
        </w:trPr>
        <w:tc>
          <w:tcPr>
            <w:tcW w:w="9054" w:type="dxa"/>
          </w:tcPr>
          <w:p w14:paraId="682CC7BF" w14:textId="77777777" w:rsidR="004F74A5" w:rsidRDefault="00743521" w:rsidP="007F46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[block</w:t>
            </w:r>
            <w:r>
              <w:rPr>
                <w:spacing w:val="-2"/>
                <w:sz w:val="24"/>
              </w:rPr>
              <w:t xml:space="preserve"> capitals]:</w:t>
            </w:r>
          </w:p>
        </w:tc>
      </w:tr>
      <w:tr w:rsidR="004F74A5" w14:paraId="55AFBE5E" w14:textId="77777777" w:rsidTr="007F46AF">
        <w:trPr>
          <w:trHeight w:val="1103"/>
        </w:trPr>
        <w:tc>
          <w:tcPr>
            <w:tcW w:w="9054" w:type="dxa"/>
          </w:tcPr>
          <w:p w14:paraId="749A11F4" w14:textId="77777777" w:rsidR="004F74A5" w:rsidRDefault="00743521" w:rsidP="007F46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signature:</w:t>
            </w:r>
          </w:p>
        </w:tc>
      </w:tr>
      <w:tr w:rsidR="004F74A5" w14:paraId="3C13B872" w14:textId="77777777" w:rsidTr="007F46AF">
        <w:trPr>
          <w:trHeight w:val="1103"/>
        </w:trPr>
        <w:tc>
          <w:tcPr>
            <w:tcW w:w="9054" w:type="dxa"/>
          </w:tcPr>
          <w:p w14:paraId="5226F862" w14:textId="77777777" w:rsidR="004F74A5" w:rsidRDefault="00743521" w:rsidP="007F46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signature:</w:t>
            </w:r>
          </w:p>
        </w:tc>
      </w:tr>
      <w:tr w:rsidR="004F74A5" w14:paraId="662EB807" w14:textId="77777777" w:rsidTr="007F46AF">
        <w:trPr>
          <w:trHeight w:val="1103"/>
        </w:trPr>
        <w:tc>
          <w:tcPr>
            <w:tcW w:w="9054" w:type="dxa"/>
          </w:tcPr>
          <w:p w14:paraId="5B97B605" w14:textId="77777777" w:rsidR="004F74A5" w:rsidRDefault="00743521" w:rsidP="007F46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capitals]:</w:t>
            </w:r>
          </w:p>
        </w:tc>
      </w:tr>
      <w:tr w:rsidR="004F74A5" w14:paraId="03D1D93D" w14:textId="77777777" w:rsidTr="007F46AF">
        <w:trPr>
          <w:trHeight w:val="1655"/>
        </w:trPr>
        <w:tc>
          <w:tcPr>
            <w:tcW w:w="9054" w:type="dxa"/>
          </w:tcPr>
          <w:p w14:paraId="2956D90F" w14:textId="77777777" w:rsidR="004F74A5" w:rsidRDefault="00743521" w:rsidP="007F46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agent:</w:t>
            </w:r>
          </w:p>
        </w:tc>
      </w:tr>
      <w:tr w:rsidR="004F74A5" w14:paraId="02810BB4" w14:textId="77777777" w:rsidTr="007F46AF">
        <w:trPr>
          <w:trHeight w:val="551"/>
        </w:trPr>
        <w:tc>
          <w:tcPr>
            <w:tcW w:w="9054" w:type="dxa"/>
          </w:tcPr>
          <w:p w14:paraId="2487A2E6" w14:textId="77777777" w:rsidR="004F74A5" w:rsidRDefault="00743521" w:rsidP="007F46A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Solicitor’s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4F74A5" w14:paraId="4D4B386D" w14:textId="77777777" w:rsidTr="007F46AF">
        <w:trPr>
          <w:trHeight w:val="1103"/>
        </w:trPr>
        <w:tc>
          <w:tcPr>
            <w:tcW w:w="9054" w:type="dxa"/>
          </w:tcPr>
          <w:p w14:paraId="2BAAAA12" w14:textId="77777777" w:rsidR="004F74A5" w:rsidRDefault="00743521" w:rsidP="007F46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solicitor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capitals]:</w:t>
            </w:r>
          </w:p>
        </w:tc>
      </w:tr>
      <w:tr w:rsidR="004F74A5" w14:paraId="4B0CFA5E" w14:textId="77777777" w:rsidTr="007F46AF">
        <w:trPr>
          <w:trHeight w:val="1655"/>
        </w:trPr>
        <w:tc>
          <w:tcPr>
            <w:tcW w:w="9054" w:type="dxa"/>
          </w:tcPr>
          <w:p w14:paraId="59C08DCE" w14:textId="77777777" w:rsidR="004F74A5" w:rsidRDefault="00743521" w:rsidP="007F46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solicitor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firm:</w:t>
            </w:r>
          </w:p>
        </w:tc>
      </w:tr>
    </w:tbl>
    <w:p w14:paraId="4BEDBC84" w14:textId="5CA8C9B5" w:rsidR="00E56DEE" w:rsidRDefault="007F46AF">
      <w:r>
        <w:br w:type="textWrapping" w:clear="all"/>
      </w:r>
    </w:p>
    <w:sectPr w:rsidR="00E56DEE">
      <w:pgSz w:w="12240" w:h="15840"/>
      <w:pgMar w:top="1340" w:right="320" w:bottom="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3D4D" w14:textId="77777777" w:rsidR="00853ED2" w:rsidRDefault="00853ED2" w:rsidP="007F46AF">
      <w:r>
        <w:separator/>
      </w:r>
    </w:p>
  </w:endnote>
  <w:endnote w:type="continuationSeparator" w:id="0">
    <w:p w14:paraId="77B595C1" w14:textId="77777777" w:rsidR="00853ED2" w:rsidRDefault="00853ED2" w:rsidP="007F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1019" w14:textId="77777777" w:rsidR="00853ED2" w:rsidRDefault="00853ED2" w:rsidP="007F46AF">
      <w:r>
        <w:separator/>
      </w:r>
    </w:p>
  </w:footnote>
  <w:footnote w:type="continuationSeparator" w:id="0">
    <w:p w14:paraId="1968E9F6" w14:textId="77777777" w:rsidR="00853ED2" w:rsidRDefault="00853ED2" w:rsidP="007F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5A26" w14:textId="77777777" w:rsidR="007F46AF" w:rsidRDefault="007F46AF" w:rsidP="007F46AF">
    <w:pPr>
      <w:pStyle w:val="BodyText"/>
      <w:ind w:left="6444"/>
      <w:rPr>
        <w:rFonts w:ascii="Times New Roman"/>
        <w:sz w:val="20"/>
      </w:rPr>
    </w:pPr>
    <w:r w:rsidRPr="00940E3F">
      <w:rPr>
        <w:rFonts w:eastAsia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3E051E1" wp14:editId="4FB1D1B2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783399" cy="1066800"/>
          <wp:effectExtent l="0" t="0" r="8255" b="0"/>
          <wp:wrapNone/>
          <wp:docPr id="2" name="Graphic 1" descr="&quot;&quot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295" cy="1069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C4B8C" w14:textId="77777777" w:rsidR="007F46AF" w:rsidRDefault="007F4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4A5"/>
    <w:rsid w:val="004F74A5"/>
    <w:rsid w:val="00743521"/>
    <w:rsid w:val="00766BDD"/>
    <w:rsid w:val="007F46AF"/>
    <w:rsid w:val="00853ED2"/>
    <w:rsid w:val="00E5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A13C"/>
  <w15:docId w15:val="{85DA7BFA-2710-4B92-8E7A-AAA83CE5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7F4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6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4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6A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2099</Characters>
  <Application>Microsoft Office Word</Application>
  <DocSecurity>0</DocSecurity>
  <Lines>17</Lines>
  <Paragraphs>4</Paragraphs>
  <ScaleCrop>false</ScaleCrop>
  <Company>London Borough of Islington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LBI small sites agreement to pay fees and sign UU_DRAFT EM_20150616</dc:title>
  <dc:creator>penny parkinson</dc:creator>
  <cp:lastModifiedBy>Baker, Nathaniel</cp:lastModifiedBy>
  <cp:revision>4</cp:revision>
  <dcterms:created xsi:type="dcterms:W3CDTF">2022-10-19T15:12:00Z</dcterms:created>
  <dcterms:modified xsi:type="dcterms:W3CDTF">2022-10-20T15:50:00Z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0x01010093C2907995EB7E4496815F3C1BC77FB000E388C4E5EF6E1F478699F5E16B777F22</vt:lpwstr>
  </property>
  <property fmtid="{D5CDD505-2E9C-101B-9397-08002B2CF9AE}" pid="3" name="Created">
    <vt:filetime>2015-06-10T00:00:00Z</vt:filetime>
  </property>
  <property fmtid="{D5CDD505-2E9C-101B-9397-08002B2CF9AE}" pid="4" name="Creator">
    <vt:lpwstr>Microsoft Office Word</vt:lpwstr>
  </property>
  <property fmtid="{D5CDD505-2E9C-101B-9397-08002B2CF9AE}" pid="5" name="FunctionalArea">
    <vt:lpwstr>1067;#Planning and building control|d7712b89-eee6-4bd4-9732-3d90275924e9</vt:lpwstr>
  </property>
  <property fmtid="{D5CDD505-2E9C-101B-9397-08002B2CF9AE}" pid="6" name="IconOverlay">
    <vt:lpwstr>|doc|lockoverlay.png</vt:lpwstr>
  </property>
  <property fmtid="{D5CDD505-2E9C-101B-9397-08002B2CF9AE}" pid="7" name="LastSaved">
    <vt:filetime>2022-10-19T00:00:00Z</vt:filetime>
  </property>
  <property fmtid="{D5CDD505-2E9C-101B-9397-08002B2CF9AE}" pid="8" name="LiveOrArchived">
    <vt:lpwstr>Live</vt:lpwstr>
  </property>
  <property fmtid="{D5CDD505-2E9C-101B-9397-08002B2CF9AE}" pid="9" name="Order">
    <vt:lpwstr>5772900.00000000</vt:lpwstr>
  </property>
  <property fmtid="{D5CDD505-2E9C-101B-9397-08002B2CF9AE}" pid="10" name="OriginalFilename">
    <vt:lpwstr>LBI small sites agreement to pay fees and sign UU_DRAFT EM_20150616.doc</vt:lpwstr>
  </property>
  <property fmtid="{D5CDD505-2E9C-101B-9397-08002B2CF9AE}" pid="11" name="Producer">
    <vt:lpwstr>Aspose.Words for .NET 15.3.0.0</vt:lpwstr>
  </property>
  <property fmtid="{D5CDD505-2E9C-101B-9397-08002B2CF9AE}" pid="12" name="ProtectiveZone">
    <vt:lpwstr>Public</vt:lpwstr>
  </property>
  <property fmtid="{D5CDD505-2E9C-101B-9397-08002B2CF9AE}" pid="13" name="RecordID">
    <vt:lpwstr>57729.0000000000</vt:lpwstr>
  </property>
  <property fmtid="{D5CDD505-2E9C-101B-9397-08002B2CF9AE}" pid="14" name="ReferenceDate">
    <vt:lpwstr>2015-06-16T11:29:14Z</vt:lpwstr>
  </property>
  <property fmtid="{D5CDD505-2E9C-101B-9397-08002B2CF9AE}" pid="15" name="TaxCatchAll">
    <vt:lpwstr>1130;#Website Content Publishers|b7ced8cb-8a60-4c5e-8aa2-6ebd8f21292f;#1100;#Public notices|713907c7-2d38-4f7e-991c-307390d01718;#1067;#Planning and building control|d7712b89-eee6-4bd4-9732-3d90275924e9</vt:lpwstr>
  </property>
  <property fmtid="{D5CDD505-2E9C-101B-9397-08002B2CF9AE}" pid="16" name="_vti_ItemDeclaredRecord">
    <vt:lpwstr>2015-06-16T11:30:30Z</vt:lpwstr>
  </property>
  <property fmtid="{D5CDD505-2E9C-101B-9397-08002B2CF9AE}" pid="17" name="_vti_ItemHoldRecordStatus">
    <vt:lpwstr>273</vt:lpwstr>
  </property>
  <property fmtid="{D5CDD505-2E9C-101B-9397-08002B2CF9AE}" pid="18" name="c96fb2fb72de4de78ba8fe87aa837b5e">
    <vt:lpwstr>Planning and building control|d7712b89-eee6-4bd4-9732-3d90275924e9</vt:lpwstr>
  </property>
  <property fmtid="{D5CDD505-2E9C-101B-9397-08002B2CF9AE}" pid="19" name="ecm_ItemDeleteBlockHolders">
    <vt:lpwstr>ecm_InPlaceRecordLock</vt:lpwstr>
  </property>
  <property fmtid="{D5CDD505-2E9C-101B-9397-08002B2CF9AE}" pid="20" name="ecm_ItemLockHolders">
    <vt:lpwstr>ecm_InPlaceRecordLock</vt:lpwstr>
  </property>
  <property fmtid="{D5CDD505-2E9C-101B-9397-08002B2CF9AE}" pid="21" name="ecm_RecordRestrictions">
    <vt:lpwstr>BlockDelete, BlockEdit</vt:lpwstr>
  </property>
</Properties>
</file>